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7B03" w14:textId="77777777" w:rsidR="00B7343C" w:rsidRPr="00B7343C" w:rsidRDefault="00B7343C" w:rsidP="00B7343C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Балалардағы</w:t>
      </w:r>
      <w:proofErr w:type="spellEnd"/>
      <w:r w:rsidRPr="00B734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емдеу</w:t>
      </w:r>
      <w:proofErr w:type="spellEnd"/>
    </w:p>
    <w:p w14:paraId="583401FF" w14:textId="77777777" w:rsidR="00B7343C" w:rsidRPr="00B7343C" w:rsidRDefault="00B7343C" w:rsidP="00B7343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B7343C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07FB145" wp14:editId="4DC0926F">
            <wp:extent cx="43815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D80A8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Балалардың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ас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қорыту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жүйелері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өте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сезімтал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сондықтан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тіпті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шамал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болсада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режим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бұзылған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жағдайда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балада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диарея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тудыруы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мүмкін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. Диарея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ұзаққа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созылған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жағдайда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ағзада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сусыздану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қаупі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бар.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Сондықтан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диареяның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себебін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анықтау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диагностикалау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маңызды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болып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табылады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Бұл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мақалада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сіз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жою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үшін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не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істеу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керектігін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оқи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аласыз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.</w:t>
      </w:r>
    </w:p>
    <w:p w14:paraId="787D91E2" w14:textId="77777777" w:rsidR="00B7343C" w:rsidRPr="00B7343C" w:rsidRDefault="00B7343C" w:rsidP="00B7343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r w:rsidRPr="00B7343C">
        <w:rPr>
          <w:rFonts w:ascii="Arial" w:eastAsia="Times New Roman" w:hAnsi="Arial" w:cs="Arial"/>
          <w:noProof/>
          <w:color w:val="28010F"/>
          <w:sz w:val="28"/>
          <w:szCs w:val="28"/>
          <w:lang w:eastAsia="ru-RU"/>
        </w:rPr>
        <w:drawing>
          <wp:inline distT="0" distB="0" distL="0" distR="0" wp14:anchorId="6FBE9B84" wp14:editId="7E610611">
            <wp:extent cx="152400" cy="152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C26C2" w14:textId="57935C1D" w:rsidR="00B7343C" w:rsidRPr="00B7343C" w:rsidRDefault="00B7343C" w:rsidP="00B7343C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</w:p>
    <w:p w14:paraId="7C77B8AB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Сіздің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балаңыз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диарея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болса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ол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өзін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шаршаңқы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нашар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сезінетін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Тиісті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іс-шараларды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жасау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арқылы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ауру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белгілерін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жеңілдетіп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жоюға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алдымен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тезірек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сауығуы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үшін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негізгі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талаптармен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танысып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шығыңыз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.</w:t>
      </w:r>
    </w:p>
    <w:p w14:paraId="17F460F3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: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Төсек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режимі</w:t>
      </w:r>
      <w:proofErr w:type="spellEnd"/>
    </w:p>
    <w:p w14:paraId="15380240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Бала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төсекте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жатуы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тиіс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Демалыс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ұйқы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тез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жазылуына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оң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септігін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тигізеді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Стресс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ұйқының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жетіспеушілігі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иммундық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жүйесін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әлсіретіп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қалыпты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емделуіне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кедергі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келтіреді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Бұл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жағдайда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қанша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көбірек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ұйықтаса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иммундық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жүйесі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соғұрлым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мықты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.</w:t>
      </w:r>
    </w:p>
    <w:p w14:paraId="20BB1F07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: Суды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көп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ішу</w:t>
      </w:r>
      <w:proofErr w:type="spellEnd"/>
    </w:p>
    <w:p w14:paraId="45A217D9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Диарея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кезінде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ағза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сұйықтықты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жоғалтады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үлкен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қауіп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тудыратын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–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ағзаның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сусыздануы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Бұл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нәрестелер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мен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балалар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үшін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өте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қауіпті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себебі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олардың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су балансы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тұрақсыз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болып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табылады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ағзаның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сусыздануы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ерексектерге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қарағанда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жылдам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жүреді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Сондықтан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балаңызда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диарея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басталса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балаңыздың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суды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мөлшерде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ішетініне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көз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жеткізіңіз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Бұл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ереже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сәбилер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үшін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де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қолданылады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Ерте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жастағы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балалардағы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үшін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жиі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емізу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қажет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Балаларға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1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жастан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кейін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емшек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сүтімен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қоса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су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немесе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онша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тәтті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емес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шай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беруге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Ал,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газдалған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сусындардан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аулақ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lastRenderedPageBreak/>
        <w:t>болуы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керек,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олар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асқазан-ішек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жолдарын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тітіркендіреді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Тұтынылатын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сұйықтықтың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көлемі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салмағының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1 кг 80-150 мл су.</w:t>
      </w:r>
    </w:p>
    <w:p w14:paraId="7679C488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: Диета</w:t>
      </w:r>
    </w:p>
    <w:p w14:paraId="38759A68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аштық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арқылы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бүгінгі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күні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ескірген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болып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табылады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Жеткілікті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түрде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тамақтанбау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баяу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қалпына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келтіруге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әкеледі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Диарея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кезінде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жеңіл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сіңетін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тағамдар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ұсынылады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Мұндай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азық-түлік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ас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қорыту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жүйесін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жеңілдететін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содан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кейін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бала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қалыпты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тамақтануға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көшуіне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Мынадай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өнімдер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балаларға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диарея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кезінде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пайдалы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болып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табылады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:</w:t>
      </w:r>
    </w:p>
    <w:p w14:paraId="12B14B25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Кептірілген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Қытырлақ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нандар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Судағы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ботқа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Картоп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Күріш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Кеспе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  <w:t>Банан</w:t>
      </w:r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Тауық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сорпасы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Алма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қосылған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печенье</w:t>
      </w:r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  <w:t>​</w:t>
      </w:r>
    </w:p>
    <w:p w14:paraId="369C893B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Мына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өнімдерді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диарея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кезінде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беруге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болмайды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:</w:t>
      </w:r>
    </w:p>
    <w:p w14:paraId="2E497E84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Дәмдеуіші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көп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майлы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тағамдар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Сүт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және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сүт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өнімдері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Кондитерлік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өнімдер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Газдалған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сусындар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br/>
        <w:t>​</w:t>
      </w:r>
    </w:p>
    <w:p w14:paraId="54875EE0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емдеу</w:t>
      </w:r>
      <w:proofErr w:type="spellEnd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 xml:space="preserve">: </w:t>
      </w:r>
      <w:proofErr w:type="spellStart"/>
      <w:r w:rsidRPr="00B7343C">
        <w:rPr>
          <w:rFonts w:ascii="Arial" w:eastAsia="Times New Roman" w:hAnsi="Arial" w:cs="Arial"/>
          <w:b/>
          <w:bCs/>
          <w:color w:val="28010F"/>
          <w:sz w:val="28"/>
          <w:szCs w:val="28"/>
          <w:lang w:eastAsia="ru-RU"/>
        </w:rPr>
        <w:t>Дәрі-дәрімектер</w:t>
      </w:r>
      <w:proofErr w:type="spellEnd"/>
    </w:p>
    <w:p w14:paraId="684F97CE" w14:textId="77777777" w:rsidR="00B7343C" w:rsidRPr="00B7343C" w:rsidRDefault="00B7343C" w:rsidP="00B7343C">
      <w:pPr>
        <w:spacing w:after="0" w:line="240" w:lineRule="auto"/>
        <w:rPr>
          <w:rFonts w:ascii="Arial" w:eastAsia="Times New Roman" w:hAnsi="Arial" w:cs="Arial"/>
          <w:color w:val="28010F"/>
          <w:sz w:val="28"/>
          <w:szCs w:val="28"/>
          <w:lang w:eastAsia="ru-RU"/>
        </w:rPr>
      </w:pP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бастысы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–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балалардағы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диареяның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себептерін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анықтау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Диареяны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емдейтін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дәрі-дәрімектерді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сақтықпен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пайдаланған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жөн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.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Дұрыс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диагноз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қойып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,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емдеудің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жолын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ұсынатын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тек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қана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 xml:space="preserve"> </w:t>
      </w:r>
      <w:proofErr w:type="spellStart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дәрігер</w:t>
      </w:r>
      <w:proofErr w:type="spellEnd"/>
      <w:r w:rsidRPr="00B7343C">
        <w:rPr>
          <w:rFonts w:ascii="Arial" w:eastAsia="Times New Roman" w:hAnsi="Arial" w:cs="Arial"/>
          <w:color w:val="28010F"/>
          <w:sz w:val="28"/>
          <w:szCs w:val="28"/>
          <w:lang w:eastAsia="ru-RU"/>
        </w:rPr>
        <w:t>.</w:t>
      </w:r>
    </w:p>
    <w:p w14:paraId="6529536A" w14:textId="77777777" w:rsidR="002C4B52" w:rsidRPr="00B7343C" w:rsidRDefault="002C4B52">
      <w:pPr>
        <w:rPr>
          <w:sz w:val="28"/>
          <w:szCs w:val="28"/>
        </w:rPr>
      </w:pPr>
    </w:p>
    <w:sectPr w:rsidR="002C4B52" w:rsidRPr="00B7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67037"/>
    <w:multiLevelType w:val="multilevel"/>
    <w:tmpl w:val="7218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837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3C"/>
    <w:rsid w:val="002C4B52"/>
    <w:rsid w:val="00B7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41D83"/>
  <w15:chartTrackingRefBased/>
  <w15:docId w15:val="{E9B82F89-B787-47D4-A300-60E163F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3146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78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98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123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21848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1989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640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DDDCDA"/>
                                    <w:left w:val="single" w:sz="6" w:space="9" w:color="DDDCDA"/>
                                    <w:bottom w:val="none" w:sz="0" w:space="0" w:color="auto"/>
                                    <w:right w:val="single" w:sz="6" w:space="30" w:color="DDDCDA"/>
                                  </w:divBdr>
                                  <w:divsChild>
                                    <w:div w:id="123038775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240810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98944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2714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6473882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4640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332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03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16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80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72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568261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9906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833516">
                                              <w:marLeft w:val="0"/>
                                              <w:marRight w:val="0"/>
                                              <w:marTop w:val="4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2624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2986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2022-06-10T05:07:00Z</dcterms:created>
  <dcterms:modified xsi:type="dcterms:W3CDTF">2022-06-10T05:09:00Z</dcterms:modified>
</cp:coreProperties>
</file>